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eastAsia="宋体" w:cs="Arial"/>
          <w:b/>
          <w:color w:val="000000"/>
          <w:kern w:val="0"/>
          <w:sz w:val="20"/>
          <w:szCs w:val="20"/>
        </w:rPr>
        <w:t>Table B.1</w:t>
      </w:r>
      <w:r>
        <w:rPr>
          <w:rFonts w:hint="eastAsia" w:ascii="Arial" w:hAnsi="Arial" w:eastAsia="宋体" w:cs="Arial"/>
          <w:b/>
          <w:color w:val="000000"/>
          <w:kern w:val="0"/>
          <w:sz w:val="20"/>
          <w:szCs w:val="20"/>
        </w:rPr>
        <w:t xml:space="preserve">: </w:t>
      </w:r>
      <w:r>
        <w:rPr>
          <w:rFonts w:ascii="Arial" w:hAnsi="Arial" w:eastAsia="宋体" w:cs="Arial"/>
          <w:bCs/>
          <w:color w:val="000000"/>
          <w:kern w:val="0"/>
          <w:sz w:val="20"/>
          <w:szCs w:val="20"/>
        </w:rPr>
        <w:t>Characteristics of women among valid cases and invalid cases (n=407).</w:t>
      </w:r>
    </w:p>
    <w:tbl>
      <w:tblPr>
        <w:tblStyle w:val="6"/>
        <w:tblpPr w:leftFromText="180" w:rightFromText="180" w:vertAnchor="text" w:horzAnchor="page" w:tblpX="1867" w:tblpY="186"/>
        <w:tblOverlap w:val="never"/>
        <w:tblW w:w="82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26"/>
        <w:gridCol w:w="1552"/>
        <w:gridCol w:w="1689"/>
        <w:gridCol w:w="1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726" w:type="dxa"/>
            <w:tcBorders>
              <w:bottom w:val="single" w:color="auto" w:sz="8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Clinical characteristics 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vertAlign w:val="superscript"/>
              </w:rPr>
              <w:t>a</w:t>
            </w:r>
          </w:p>
          <w:p>
            <w:pPr>
              <w:widowControl/>
              <w:spacing w:line="360" w:lineRule="auto"/>
              <w:jc w:val="left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552" w:type="dxa"/>
            <w:tcBorders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b/>
                <w:color w:val="000000"/>
                <w:kern w:val="0"/>
                <w:sz w:val="20"/>
                <w:szCs w:val="20"/>
              </w:rPr>
              <w:t xml:space="preserve">Valid cases 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(n=355)</w:t>
            </w:r>
          </w:p>
        </w:tc>
        <w:tc>
          <w:tcPr>
            <w:tcW w:w="1689" w:type="dxa"/>
            <w:tcBorders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b/>
                <w:color w:val="000000"/>
                <w:kern w:val="0"/>
                <w:sz w:val="20"/>
                <w:szCs w:val="20"/>
              </w:rPr>
              <w:t>in</w:t>
            </w:r>
            <w:bookmarkStart w:id="0" w:name="_GoBack"/>
            <w:bookmarkEnd w:id="0"/>
            <w:r>
              <w:rPr>
                <w:rFonts w:ascii="Arial" w:hAnsi="Arial" w:eastAsia="宋体" w:cs="Arial"/>
                <w:b/>
                <w:color w:val="000000"/>
                <w:kern w:val="0"/>
                <w:sz w:val="20"/>
                <w:szCs w:val="20"/>
              </w:rPr>
              <w:t>valid cases</w:t>
            </w:r>
          </w:p>
          <w:p>
            <w:pPr>
              <w:widowControl/>
              <w:spacing w:line="360" w:lineRule="auto"/>
              <w:jc w:val="left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(n=52)</w:t>
            </w:r>
          </w:p>
        </w:tc>
        <w:tc>
          <w:tcPr>
            <w:tcW w:w="1252" w:type="dxa"/>
            <w:tcBorders>
              <w:bottom w:val="single" w:color="auto" w:sz="8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kern w:val="0"/>
                <w:sz w:val="20"/>
                <w:szCs w:val="20"/>
              </w:rPr>
              <w:t>p-value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</w:trPr>
        <w:tc>
          <w:tcPr>
            <w:tcW w:w="3726" w:type="dxa"/>
            <w:tcBorders>
              <w:top w:val="single" w:color="auto" w:sz="8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Age (y)</w:t>
            </w:r>
          </w:p>
        </w:tc>
        <w:tc>
          <w:tcPr>
            <w:tcW w:w="1552" w:type="dxa"/>
            <w:tcBorders>
              <w:top w:val="single" w:color="auto" w:sz="8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31.5±3.9</w:t>
            </w:r>
          </w:p>
        </w:tc>
        <w:tc>
          <w:tcPr>
            <w:tcW w:w="1689" w:type="dxa"/>
            <w:tcBorders>
              <w:top w:val="single" w:color="auto" w:sz="8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31.2±3.7</w:t>
            </w:r>
          </w:p>
        </w:tc>
        <w:tc>
          <w:tcPr>
            <w:tcW w:w="1252" w:type="dxa"/>
            <w:tcBorders>
              <w:top w:val="single" w:color="auto" w:sz="8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0.596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372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gestational age at enrollment (weeks)</w:t>
            </w:r>
          </w:p>
        </w:tc>
        <w:tc>
          <w:tcPr>
            <w:tcW w:w="15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8.3±1.9</w:t>
            </w:r>
          </w:p>
        </w:tc>
        <w:tc>
          <w:tcPr>
            <w:tcW w:w="16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8.0±2.0</w:t>
            </w:r>
          </w:p>
        </w:tc>
        <w:tc>
          <w:tcPr>
            <w:tcW w:w="12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72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BMI (kg/m</w:t>
            </w:r>
            <w:r>
              <w:rPr>
                <w:rFonts w:ascii="Arial" w:hAnsi="Arial" w:cs="Arial"/>
                <w:kern w:val="0"/>
                <w:sz w:val="20"/>
                <w:szCs w:val="20"/>
                <w:vertAlign w:val="superscript"/>
              </w:rPr>
              <w:t>2</w:t>
            </w:r>
            <w:r>
              <w:rPr>
                <w:rFonts w:ascii="Arial" w:hAnsi="Arial" w:cs="Arial"/>
                <w:kern w:val="0"/>
                <w:sz w:val="20"/>
                <w:szCs w:val="20"/>
              </w:rPr>
              <w:t>)</w:t>
            </w:r>
          </w:p>
        </w:tc>
        <w:tc>
          <w:tcPr>
            <w:tcW w:w="15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21.7±2.8</w:t>
            </w:r>
          </w:p>
        </w:tc>
        <w:tc>
          <w:tcPr>
            <w:tcW w:w="16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22.0±2.9</w:t>
            </w:r>
          </w:p>
        </w:tc>
        <w:tc>
          <w:tcPr>
            <w:tcW w:w="12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72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Primipara</w:t>
            </w:r>
          </w:p>
        </w:tc>
        <w:tc>
          <w:tcPr>
            <w:tcW w:w="15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269 (75.8)</w:t>
            </w:r>
          </w:p>
        </w:tc>
        <w:tc>
          <w:tcPr>
            <w:tcW w:w="16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 (69.2)</w:t>
            </w:r>
          </w:p>
        </w:tc>
        <w:tc>
          <w:tcPr>
            <w:tcW w:w="125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72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History of Hyperthyroidism</w:t>
            </w:r>
          </w:p>
        </w:tc>
        <w:tc>
          <w:tcPr>
            <w:tcW w:w="15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 (1.7)</w:t>
            </w:r>
          </w:p>
        </w:tc>
        <w:tc>
          <w:tcPr>
            <w:tcW w:w="16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 (0.0)</w:t>
            </w:r>
          </w:p>
        </w:tc>
        <w:tc>
          <w:tcPr>
            <w:tcW w:w="125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＞0.999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72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History of repeated vaginal candidiasis</w:t>
            </w:r>
          </w:p>
        </w:tc>
        <w:tc>
          <w:tcPr>
            <w:tcW w:w="15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 (14.1)</w:t>
            </w:r>
          </w:p>
        </w:tc>
        <w:tc>
          <w:tcPr>
            <w:tcW w:w="16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 (5.8)</w:t>
            </w:r>
          </w:p>
        </w:tc>
        <w:tc>
          <w:tcPr>
            <w:tcW w:w="125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372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History of oligomenorrhea</w:t>
            </w:r>
          </w:p>
        </w:tc>
        <w:tc>
          <w:tcPr>
            <w:tcW w:w="15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 (2.8)</w:t>
            </w:r>
          </w:p>
        </w:tc>
        <w:tc>
          <w:tcPr>
            <w:tcW w:w="16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 (1.9)</w:t>
            </w:r>
          </w:p>
        </w:tc>
        <w:tc>
          <w:tcPr>
            <w:tcW w:w="125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＞0.999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72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History of spontaneous abortion</w:t>
            </w:r>
          </w:p>
        </w:tc>
        <w:tc>
          <w:tcPr>
            <w:tcW w:w="15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 (17.7)</w:t>
            </w:r>
          </w:p>
        </w:tc>
        <w:tc>
          <w:tcPr>
            <w:tcW w:w="16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 (11.5)</w:t>
            </w:r>
          </w:p>
        </w:tc>
        <w:tc>
          <w:tcPr>
            <w:tcW w:w="125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72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Family history of diabetes</w:t>
            </w:r>
          </w:p>
        </w:tc>
        <w:tc>
          <w:tcPr>
            <w:tcW w:w="15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 (36.3)</w:t>
            </w:r>
          </w:p>
        </w:tc>
        <w:tc>
          <w:tcPr>
            <w:tcW w:w="16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 (32.7)</w:t>
            </w:r>
          </w:p>
        </w:tc>
        <w:tc>
          <w:tcPr>
            <w:tcW w:w="125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72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Family history of hypertension</w:t>
            </w:r>
          </w:p>
        </w:tc>
        <w:tc>
          <w:tcPr>
            <w:tcW w:w="15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208 (58.6)</w:t>
            </w:r>
          </w:p>
        </w:tc>
        <w:tc>
          <w:tcPr>
            <w:tcW w:w="16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 (59.6)</w:t>
            </w:r>
          </w:p>
        </w:tc>
        <w:tc>
          <w:tcPr>
            <w:tcW w:w="125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72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Yearly household income (CNY)</w:t>
            </w:r>
          </w:p>
        </w:tc>
        <w:tc>
          <w:tcPr>
            <w:tcW w:w="15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16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72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ind w:firstLine="200" w:firstLineChars="100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80,000-140,000</w:t>
            </w:r>
          </w:p>
        </w:tc>
        <w:tc>
          <w:tcPr>
            <w:tcW w:w="15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 (20.0)</w:t>
            </w:r>
          </w:p>
        </w:tc>
        <w:tc>
          <w:tcPr>
            <w:tcW w:w="16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 (15.4)</w:t>
            </w:r>
          </w:p>
        </w:tc>
        <w:tc>
          <w:tcPr>
            <w:tcW w:w="125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72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ind w:firstLine="200" w:firstLineChars="100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150,000-290,000</w:t>
            </w:r>
          </w:p>
        </w:tc>
        <w:tc>
          <w:tcPr>
            <w:tcW w:w="15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132 (37.2)</w:t>
            </w:r>
          </w:p>
        </w:tc>
        <w:tc>
          <w:tcPr>
            <w:tcW w:w="16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 (38.5)</w:t>
            </w:r>
          </w:p>
        </w:tc>
        <w:tc>
          <w:tcPr>
            <w:tcW w:w="125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72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ind w:firstLine="200" w:firstLineChars="100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300,000-490,000</w:t>
            </w:r>
          </w:p>
        </w:tc>
        <w:tc>
          <w:tcPr>
            <w:tcW w:w="15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 (27.6)</w:t>
            </w:r>
          </w:p>
        </w:tc>
        <w:tc>
          <w:tcPr>
            <w:tcW w:w="16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 (25.0)</w:t>
            </w:r>
          </w:p>
        </w:tc>
        <w:tc>
          <w:tcPr>
            <w:tcW w:w="125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72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ind w:firstLine="200" w:firstLineChars="100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≥500,000</w:t>
            </w:r>
          </w:p>
        </w:tc>
        <w:tc>
          <w:tcPr>
            <w:tcW w:w="15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 (15.2)</w:t>
            </w:r>
          </w:p>
        </w:tc>
        <w:tc>
          <w:tcPr>
            <w:tcW w:w="16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 (21.2)</w:t>
            </w:r>
          </w:p>
        </w:tc>
        <w:tc>
          <w:tcPr>
            <w:tcW w:w="125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72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History of frequent overtime work</w:t>
            </w:r>
          </w:p>
        </w:tc>
        <w:tc>
          <w:tcPr>
            <w:tcW w:w="15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 (19.4)</w:t>
            </w:r>
          </w:p>
        </w:tc>
        <w:tc>
          <w:tcPr>
            <w:tcW w:w="16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 (19.2)</w:t>
            </w:r>
          </w:p>
        </w:tc>
        <w:tc>
          <w:tcPr>
            <w:tcW w:w="125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0.972</w:t>
            </w:r>
          </w:p>
        </w:tc>
      </w:tr>
    </w:tbl>
    <w:p>
      <w:pPr>
        <w:widowControl/>
        <w:spacing w:line="360" w:lineRule="auto"/>
        <w:jc w:val="left"/>
        <w:rPr>
          <w:rFonts w:ascii="Arial" w:hAnsi="Arial" w:eastAsia="宋体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Notes: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vertAlign w:val="superscript"/>
        </w:rPr>
        <w:t>a</w:t>
      </w:r>
      <w:r>
        <w:rPr>
          <w:rFonts w:ascii="Arial" w:hAnsi="Arial" w:cs="Arial"/>
          <w:sz w:val="20"/>
          <w:szCs w:val="20"/>
        </w:rPr>
        <w:t>Data are mean ± SD or n (%)</w:t>
      </w:r>
      <w:r>
        <w:rPr>
          <w:rFonts w:ascii="Arial" w:hAnsi="Arial" w:eastAsia="宋体" w:cs="Arial"/>
          <w:sz w:val="20"/>
          <w:szCs w:val="20"/>
        </w:rPr>
        <w:t xml:space="preserve">; </w:t>
      </w:r>
      <w:r>
        <w:rPr>
          <w:rFonts w:ascii="Arial" w:hAnsi="Arial" w:cs="Arial"/>
          <w:sz w:val="20"/>
          <w:szCs w:val="20"/>
        </w:rPr>
        <w:t>Statistical significance was accepted when p&lt;0.05.</w:t>
      </w:r>
    </w:p>
    <w:p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Abbreviations:</w:t>
      </w:r>
      <w:r>
        <w:rPr>
          <w:rFonts w:ascii="Arial" w:hAnsi="Arial" w:cs="Arial"/>
          <w:sz w:val="20"/>
          <w:szCs w:val="20"/>
        </w:rPr>
        <w:t xml:space="preserve"> BMI=body mass index; CNY=Chinese Yuan; GDM=gestational diabetes mellitus.</w:t>
      </w:r>
    </w:p>
    <w:p>
      <w:pPr>
        <w:spacing w:line="360" w:lineRule="auto"/>
        <w:rPr>
          <w:rFonts w:ascii="Arial" w:hAnsi="Arial" w:cs="Arial"/>
          <w:sz w:val="20"/>
          <w:szCs w:val="20"/>
        </w:rPr>
      </w:pPr>
    </w:p>
    <w:p>
      <w:pPr>
        <w:widowControl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Table </w:t>
      </w:r>
      <w:r>
        <w:rPr>
          <w:rFonts w:ascii="Arial" w:hAnsi="Arial" w:eastAsia="宋体" w:cs="Arial"/>
          <w:b/>
          <w:color w:val="000000"/>
          <w:kern w:val="0"/>
          <w:sz w:val="20"/>
          <w:szCs w:val="20"/>
        </w:rPr>
        <w:t>B.</w:t>
      </w:r>
      <w:r>
        <w:rPr>
          <w:rFonts w:hint="eastAsia" w:ascii="Arial" w:hAnsi="Arial" w:eastAsia="宋体" w:cs="Arial"/>
          <w:b/>
          <w:color w:val="000000"/>
          <w:kern w:val="0"/>
          <w:sz w:val="20"/>
          <w:szCs w:val="20"/>
        </w:rPr>
        <w:t xml:space="preserve">2: </w:t>
      </w:r>
      <w:r>
        <w:rPr>
          <w:rFonts w:ascii="Arial" w:hAnsi="Arial" w:cs="Arial"/>
        </w:rPr>
        <w:t xml:space="preserve">Univariate analysis for the categories of BQ before pregnancy and GDM (n=355) </w:t>
      </w:r>
    </w:p>
    <w:tbl>
      <w:tblPr>
        <w:tblStyle w:val="6"/>
        <w:tblW w:w="476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76"/>
        <w:gridCol w:w="1779"/>
        <w:gridCol w:w="1797"/>
        <w:gridCol w:w="11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78" w:type="pct"/>
            <w:tcBorders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</w:rPr>
              <w:t>BQ</w:t>
            </w:r>
            <w:r>
              <w:rPr>
                <w:rFonts w:ascii="Arial" w:hAnsi="Arial" w:cs="Arial"/>
                <w:b/>
                <w:bCs/>
                <w:szCs w:val="20"/>
                <w:vertAlign w:val="superscript"/>
              </w:rPr>
              <w:t>a</w:t>
            </w:r>
            <w:r>
              <w:rPr>
                <w:rFonts w:ascii="Arial" w:hAnsi="Arial" w:cs="Arial"/>
                <w:b/>
                <w:bCs/>
              </w:rPr>
              <w:t xml:space="preserve"> questionnaire</w:t>
            </w:r>
          </w:p>
        </w:tc>
        <w:tc>
          <w:tcPr>
            <w:tcW w:w="1095" w:type="pct"/>
            <w:tcBorders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GDM</w:t>
            </w:r>
          </w:p>
          <w:p>
            <w:pPr>
              <w:widowControl/>
              <w:spacing w:line="360" w:lineRule="auto"/>
              <w:jc w:val="left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(n=63)</w:t>
            </w:r>
          </w:p>
        </w:tc>
        <w:tc>
          <w:tcPr>
            <w:tcW w:w="1106" w:type="pct"/>
            <w:tcBorders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Non GDM</w:t>
            </w:r>
          </w:p>
          <w:p>
            <w:pPr>
              <w:widowControl/>
              <w:spacing w:line="360" w:lineRule="auto"/>
              <w:jc w:val="left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(n=292)</w:t>
            </w:r>
          </w:p>
        </w:tc>
        <w:tc>
          <w:tcPr>
            <w:tcW w:w="719" w:type="pct"/>
            <w:tcBorders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kern w:val="0"/>
                <w:sz w:val="20"/>
                <w:szCs w:val="20"/>
              </w:rPr>
              <w:t>p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-value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20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Positive Category 1</w:t>
            </w:r>
          </w:p>
        </w:tc>
        <w:tc>
          <w:tcPr>
            <w:tcW w:w="109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14</w:t>
            </w:r>
            <w:r>
              <w:rPr>
                <w:rFonts w:ascii="Arial" w:hAnsi="Arial" w:cs="Arial"/>
                <w:kern w:val="0"/>
                <w:sz w:val="20"/>
                <w:szCs w:val="20"/>
              </w:rPr>
              <w:t xml:space="preserve"> (</w:t>
            </w: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22.2</w:t>
            </w:r>
            <w:r>
              <w:rPr>
                <w:rFonts w:ascii="Arial" w:hAnsi="Arial" w:cs="Arial"/>
                <w:kern w:val="0"/>
                <w:sz w:val="20"/>
                <w:szCs w:val="20"/>
              </w:rPr>
              <w:t>)</w:t>
            </w:r>
          </w:p>
        </w:tc>
        <w:tc>
          <w:tcPr>
            <w:tcW w:w="110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27</w:t>
            </w:r>
            <w:r>
              <w:rPr>
                <w:rFonts w:ascii="Arial" w:hAnsi="Arial" w:cs="Arial"/>
                <w:kern w:val="0"/>
                <w:sz w:val="20"/>
                <w:szCs w:val="20"/>
              </w:rPr>
              <w:t xml:space="preserve"> (</w:t>
            </w: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9.2</w:t>
            </w:r>
            <w:r>
              <w:rPr>
                <w:rFonts w:ascii="Arial" w:hAnsi="Arial" w:cs="Arial"/>
                <w:kern w:val="0"/>
                <w:sz w:val="20"/>
                <w:szCs w:val="20"/>
              </w:rPr>
              <w:t>)</w:t>
            </w:r>
          </w:p>
        </w:tc>
        <w:tc>
          <w:tcPr>
            <w:tcW w:w="71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kern w:val="0"/>
                <w:sz w:val="20"/>
                <w:szCs w:val="20"/>
              </w:rPr>
              <w:t>0.00</w:t>
            </w:r>
            <w:r>
              <w:rPr>
                <w:rFonts w:hint="eastAsia" w:ascii="Arial" w:hAnsi="Arial" w:cs="Arial"/>
                <w:b w:val="0"/>
                <w:bCs w:val="0"/>
                <w:kern w:val="0"/>
                <w:sz w:val="20"/>
                <w:szCs w:val="20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20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 xml:space="preserve">Positive Category </w:t>
            </w: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109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15</w:t>
            </w:r>
            <w:r>
              <w:rPr>
                <w:rFonts w:ascii="Arial" w:hAnsi="Arial" w:cs="Arial"/>
                <w:kern w:val="0"/>
                <w:sz w:val="20"/>
                <w:szCs w:val="20"/>
              </w:rPr>
              <w:t xml:space="preserve"> (</w:t>
            </w: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23.8</w:t>
            </w:r>
            <w:r>
              <w:rPr>
                <w:rFonts w:ascii="Arial" w:hAnsi="Arial" w:cs="Arial"/>
                <w:kern w:val="0"/>
                <w:sz w:val="20"/>
                <w:szCs w:val="20"/>
              </w:rPr>
              <w:t>)</w:t>
            </w:r>
          </w:p>
        </w:tc>
        <w:tc>
          <w:tcPr>
            <w:tcW w:w="110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33</w:t>
            </w:r>
            <w:r>
              <w:rPr>
                <w:rFonts w:ascii="Arial" w:hAnsi="Arial" w:cs="Arial"/>
                <w:kern w:val="0"/>
                <w:sz w:val="20"/>
                <w:szCs w:val="20"/>
              </w:rPr>
              <w:t xml:space="preserve"> (</w:t>
            </w: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11.3</w:t>
            </w:r>
            <w:r>
              <w:rPr>
                <w:rFonts w:ascii="Arial" w:hAnsi="Arial" w:cs="Arial"/>
                <w:kern w:val="0"/>
                <w:sz w:val="20"/>
                <w:szCs w:val="20"/>
              </w:rPr>
              <w:t>)</w:t>
            </w:r>
          </w:p>
        </w:tc>
        <w:tc>
          <w:tcPr>
            <w:tcW w:w="71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kern w:val="0"/>
                <w:sz w:val="20"/>
                <w:szCs w:val="20"/>
              </w:rPr>
              <w:t>0.</w:t>
            </w:r>
            <w:r>
              <w:rPr>
                <w:rFonts w:hint="eastAsia" w:ascii="Arial" w:hAnsi="Arial" w:cs="Arial"/>
                <w:b w:val="0"/>
                <w:bCs w:val="0"/>
                <w:kern w:val="0"/>
                <w:sz w:val="20"/>
                <w:szCs w:val="20"/>
              </w:rPr>
              <w:t>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20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 xml:space="preserve">Positive Category </w:t>
            </w: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3</w:t>
            </w:r>
          </w:p>
        </w:tc>
        <w:tc>
          <w:tcPr>
            <w:tcW w:w="109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2</w:t>
            </w:r>
            <w:r>
              <w:rPr>
                <w:rFonts w:ascii="Arial" w:hAnsi="Arial" w:cs="Arial"/>
                <w:kern w:val="0"/>
                <w:sz w:val="20"/>
                <w:szCs w:val="20"/>
              </w:rPr>
              <w:t xml:space="preserve"> (</w:t>
            </w: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3.2</w:t>
            </w:r>
            <w:r>
              <w:rPr>
                <w:rFonts w:ascii="Arial" w:hAnsi="Arial" w:cs="Arial"/>
                <w:kern w:val="0"/>
                <w:sz w:val="20"/>
                <w:szCs w:val="20"/>
              </w:rPr>
              <w:t>)</w:t>
            </w:r>
          </w:p>
        </w:tc>
        <w:tc>
          <w:tcPr>
            <w:tcW w:w="110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 (1.7)</w:t>
            </w:r>
          </w:p>
        </w:tc>
        <w:tc>
          <w:tcPr>
            <w:tcW w:w="71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</w:t>
            </w: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449</w:t>
            </w:r>
          </w:p>
        </w:tc>
      </w:tr>
    </w:tbl>
    <w:p>
      <w:pPr>
        <w:widowControl/>
        <w:spacing w:line="360" w:lineRule="auto"/>
        <w:jc w:val="left"/>
        <w:rPr>
          <w:rFonts w:ascii="Arial" w:hAnsi="Arial" w:eastAsia="宋体" w:cs="Arial"/>
          <w:szCs w:val="20"/>
        </w:rPr>
      </w:pPr>
      <w:r>
        <w:rPr>
          <w:rFonts w:ascii="Arial" w:hAnsi="Arial" w:cs="Arial"/>
          <w:b/>
          <w:szCs w:val="20"/>
        </w:rPr>
        <w:t>Notes:</w:t>
      </w:r>
      <w:r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  <w:vertAlign w:val="superscript"/>
        </w:rPr>
        <w:t>a</w:t>
      </w:r>
      <w:r>
        <w:rPr>
          <w:rFonts w:ascii="Arial" w:hAnsi="Arial" w:eastAsia="宋体" w:cs="Arial"/>
          <w:bCs/>
          <w:color w:val="000000"/>
          <w:kern w:val="0"/>
          <w:szCs w:val="21"/>
        </w:rPr>
        <w:t xml:space="preserve">Data are n (%) </w:t>
      </w:r>
      <w:r>
        <w:rPr>
          <w:rFonts w:ascii="Arial" w:hAnsi="Arial" w:eastAsia="宋体" w:cs="Arial"/>
          <w:szCs w:val="20"/>
        </w:rPr>
        <w:t xml:space="preserve">; </w:t>
      </w:r>
      <w:r>
        <w:rPr>
          <w:rFonts w:ascii="Arial" w:hAnsi="Arial" w:cs="Arial"/>
          <w:szCs w:val="20"/>
        </w:rPr>
        <w:t>Statistical significance was accepted when p&lt;0.05.</w:t>
      </w:r>
    </w:p>
    <w:p>
      <w:pPr>
        <w:spacing w:line="360" w:lineRule="auto"/>
        <w:rPr>
          <w:rFonts w:ascii="Arial" w:hAnsi="Arial" w:eastAsia="宋体" w:cs="Arial"/>
          <w:bCs/>
          <w:color w:val="000000"/>
          <w:kern w:val="0"/>
          <w:szCs w:val="21"/>
        </w:rPr>
      </w:pPr>
      <w:r>
        <w:rPr>
          <w:rFonts w:ascii="Arial" w:hAnsi="Arial" w:cs="Arial"/>
          <w:b/>
          <w:szCs w:val="20"/>
        </w:rPr>
        <w:t>Abbreviations:</w:t>
      </w:r>
      <w:r>
        <w:rPr>
          <w:rFonts w:ascii="Arial" w:hAnsi="Arial" w:cs="Arial"/>
          <w:szCs w:val="20"/>
        </w:rPr>
        <w:t xml:space="preserve"> </w:t>
      </w:r>
      <w:r>
        <w:rPr>
          <w:rFonts w:ascii="Arial" w:hAnsi="Arial" w:eastAsia="宋体" w:cs="Arial"/>
          <w:bCs/>
          <w:color w:val="000000"/>
          <w:kern w:val="0"/>
          <w:szCs w:val="21"/>
        </w:rPr>
        <w:t>BQ=Berlin Questionnaire; GDM=gestational diabetes mellitus</w:t>
      </w:r>
      <w:r>
        <w:rPr>
          <w:rFonts w:hint="eastAsia" w:ascii="Arial" w:hAnsi="Arial" w:eastAsia="宋体" w:cs="Arial"/>
          <w:bCs/>
          <w:color w:val="000000"/>
          <w:kern w:val="0"/>
          <w:szCs w:val="21"/>
        </w:rPr>
        <w:t>.</w:t>
      </w:r>
    </w:p>
    <w:p>
      <w:pPr>
        <w:spacing w:line="360" w:lineRule="auto"/>
        <w:rPr>
          <w:rFonts w:ascii="Arial" w:hAnsi="Arial" w:cs="Arial"/>
          <w:sz w:val="20"/>
          <w:szCs w:val="20"/>
        </w:rPr>
      </w:pPr>
    </w:p>
    <w:p>
      <w:pPr>
        <w:pStyle w:val="9"/>
        <w:tabs>
          <w:tab w:val="left" w:pos="365"/>
        </w:tabs>
        <w:spacing w:after="100" w:line="360" w:lineRule="auto"/>
        <w:rPr>
          <w:rFonts w:ascii="Arial" w:hAnsi="Arial" w:eastAsia="宋体" w:cs="Arial"/>
          <w:bCs/>
          <w:color w:val="000000"/>
          <w:kern w:val="0"/>
        </w:rPr>
      </w:pPr>
      <w:r>
        <w:rPr>
          <w:rFonts w:ascii="Arial" w:hAnsi="Arial" w:eastAsia="宋体" w:cs="Arial"/>
          <w:b/>
          <w:color w:val="000000"/>
          <w:kern w:val="0"/>
        </w:rPr>
        <w:t>Table B.</w:t>
      </w:r>
      <w:r>
        <w:rPr>
          <w:rFonts w:hint="eastAsia" w:ascii="Arial" w:hAnsi="Arial" w:eastAsia="宋体" w:cs="Arial"/>
          <w:b/>
          <w:color w:val="000000"/>
          <w:kern w:val="0"/>
        </w:rPr>
        <w:t xml:space="preserve">3: </w:t>
      </w:r>
      <w:r>
        <w:rPr>
          <w:rFonts w:ascii="Arial" w:hAnsi="Arial" w:eastAsia="宋体" w:cs="Arial"/>
          <w:bCs/>
          <w:color w:val="000000"/>
          <w:kern w:val="0"/>
        </w:rPr>
        <w:t>Multicollinearity and VIF of sleep duration, sleep quality, and BQ outcome</w:t>
      </w:r>
    </w:p>
    <w:tbl>
      <w:tblPr>
        <w:tblStyle w:val="6"/>
        <w:tblpPr w:leftFromText="180" w:rightFromText="180" w:vertAnchor="text" w:horzAnchor="page" w:tblpX="672" w:tblpY="180"/>
        <w:tblOverlap w:val="never"/>
        <w:tblW w:w="588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2"/>
        <w:gridCol w:w="1097"/>
        <w:gridCol w:w="1493"/>
        <w:gridCol w:w="1032"/>
        <w:gridCol w:w="965"/>
        <w:gridCol w:w="1058"/>
        <w:gridCol w:w="1338"/>
        <w:gridCol w:w="11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956" w:type="pct"/>
            <w:vMerge w:val="restart"/>
            <w:tcBorders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Model</w:t>
            </w:r>
          </w:p>
        </w:tc>
        <w:tc>
          <w:tcPr>
            <w:tcW w:w="1289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line="360" w:lineRule="auto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Unstandardized Coefficients</w:t>
            </w:r>
          </w:p>
        </w:tc>
        <w:tc>
          <w:tcPr>
            <w:tcW w:w="994" w:type="pct"/>
            <w:gridSpan w:val="2"/>
            <w:vMerge w:val="restart"/>
            <w:tcBorders>
              <w:left w:val="nil"/>
              <w:bottom w:val="single" w:color="000000" w:sz="8" w:space="0"/>
              <w:right w:val="nil"/>
            </w:tcBorders>
            <w:shd w:val="clear" w:color="auto" w:fill="auto"/>
          </w:tcPr>
          <w:p>
            <w:pPr>
              <w:spacing w:line="360" w:lineRule="auto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Standardized Coefllcients Beta</w:t>
            </w:r>
          </w:p>
        </w:tc>
        <w:tc>
          <w:tcPr>
            <w:tcW w:w="527" w:type="pct"/>
            <w:vMerge w:val="restart"/>
            <w:tcBorders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kern w:val="0"/>
                <w:sz w:val="20"/>
                <w:szCs w:val="20"/>
              </w:rPr>
              <w:t>p-valu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e</w:t>
            </w:r>
          </w:p>
        </w:tc>
        <w:tc>
          <w:tcPr>
            <w:tcW w:w="1231" w:type="pct"/>
            <w:gridSpan w:val="2"/>
            <w:tcBorders>
              <w:left w:val="nil"/>
              <w:bottom w:val="nil"/>
            </w:tcBorders>
            <w:shd w:val="clear" w:color="auto" w:fill="auto"/>
            <w:noWrap/>
          </w:tcPr>
          <w:p>
            <w:pPr>
              <w:spacing w:line="360" w:lineRule="auto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Collinearity Statistics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956" w:type="pct"/>
            <w:vMerge w:val="continue"/>
            <w:tcBorders>
              <w:top w:val="nil"/>
              <w:bottom w:val="single" w:color="000000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line="360" w:lineRule="auto"/>
              <w:jc w:val="left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textAlignment w:val="top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B</w:t>
            </w:r>
          </w:p>
        </w:tc>
        <w:tc>
          <w:tcPr>
            <w:tcW w:w="742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textAlignment w:val="top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Std. Error</w:t>
            </w:r>
          </w:p>
        </w:tc>
        <w:tc>
          <w:tcPr>
            <w:tcW w:w="994" w:type="pct"/>
            <w:gridSpan w:val="2"/>
            <w:vMerge w:val="continue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27" w:type="pct"/>
            <w:vMerge w:val="continue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left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textAlignment w:val="top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Toleiance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textAlignment w:val="top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VIF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956" w:type="pct"/>
            <w:tcBorders>
              <w:top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textAlignment w:val="top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(Constant)</w:t>
            </w:r>
          </w:p>
        </w:tc>
        <w:tc>
          <w:tcPr>
            <w:tcW w:w="546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textAlignment w:val="top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4.37</w:t>
            </w:r>
          </w:p>
        </w:tc>
        <w:tc>
          <w:tcPr>
            <w:tcW w:w="742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textAlignment w:val="top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0.57</w:t>
            </w:r>
          </w:p>
        </w:tc>
        <w:tc>
          <w:tcPr>
            <w:tcW w:w="514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ind w:firstLine="400" w:firstLineChars="200"/>
              <w:jc w:val="left"/>
              <w:textAlignment w:val="top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textAlignment w:val="top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7.67</w:t>
            </w:r>
          </w:p>
        </w:tc>
        <w:tc>
          <w:tcPr>
            <w:tcW w:w="527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textAlignment w:val="top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0.000</w:t>
            </w:r>
          </w:p>
        </w:tc>
        <w:tc>
          <w:tcPr>
            <w:tcW w:w="667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ind w:firstLine="400" w:firstLineChars="200"/>
              <w:jc w:val="left"/>
              <w:textAlignment w:val="top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color="000000" w:sz="8" w:space="0"/>
              <w:left w:val="nil"/>
              <w:bottom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ind w:firstLine="400" w:firstLineChars="200"/>
              <w:jc w:val="left"/>
              <w:textAlignment w:val="top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956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textAlignment w:val="top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PSQI score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textAlignment w:val="top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0.01</w:t>
            </w: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textAlignment w:val="top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0.03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textAlignment w:val="top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0.01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textAlignment w:val="top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0.19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textAlignment w:val="top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0.848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textAlignment w:val="top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0.64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textAlignment w:val="top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956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textAlignment w:val="top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BQ outcome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textAlignment w:val="top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textAlignment w:val="top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textAlignment w:val="top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0.08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textAlignment w:val="top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1.44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textAlignment w:val="top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0.151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textAlignment w:val="top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0.93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textAlignment w:val="top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956" w:type="pct"/>
            <w:tcBorders>
              <w:top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textAlignment w:val="top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Nighttime sleep duration (h)</w:t>
            </w:r>
          </w:p>
        </w:tc>
        <w:tc>
          <w:tcPr>
            <w:tcW w:w="5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textAlignment w:val="top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0.01</w:t>
            </w:r>
          </w:p>
        </w:tc>
        <w:tc>
          <w:tcPr>
            <w:tcW w:w="7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textAlignment w:val="top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0.07</w:t>
            </w: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textAlignment w:val="top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0.01</w:t>
            </w: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textAlignment w:val="top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0.21</w:t>
            </w:r>
          </w:p>
        </w:tc>
        <w:tc>
          <w:tcPr>
            <w:tcW w:w="5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textAlignment w:val="top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0.837</w:t>
            </w:r>
          </w:p>
        </w:tc>
        <w:tc>
          <w:tcPr>
            <w:tcW w:w="66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textAlignment w:val="top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0.67</w:t>
            </w:r>
          </w:p>
        </w:tc>
        <w:tc>
          <w:tcPr>
            <w:tcW w:w="563" w:type="pct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textAlignment w:val="top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1.49</w:t>
            </w:r>
          </w:p>
        </w:tc>
      </w:tr>
    </w:tbl>
    <w:p>
      <w:pPr>
        <w:widowControl/>
        <w:spacing w:line="360" w:lineRule="auto"/>
        <w:jc w:val="left"/>
        <w:rPr>
          <w:rFonts w:ascii="Arial" w:hAnsi="Arial" w:eastAsia="宋体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Notes:</w:t>
      </w:r>
      <w:r>
        <w:rPr>
          <w:rFonts w:ascii="Arial" w:hAnsi="Arial" w:cs="Arial"/>
          <w:sz w:val="20"/>
          <w:szCs w:val="20"/>
        </w:rPr>
        <w:t xml:space="preserve"> Statistical significance was accepted when VIF＞10.</w:t>
      </w:r>
    </w:p>
    <w:p>
      <w:pPr>
        <w:spacing w:line="360" w:lineRule="auto"/>
        <w:rPr>
          <w:rFonts w:ascii="Arial" w:hAnsi="Arial" w:eastAsia="宋体" w:cs="Arial"/>
          <w:bCs/>
          <w:color w:val="000000"/>
          <w:kern w:val="0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Abbreviations:</w:t>
      </w:r>
      <w:r>
        <w:rPr>
          <w:rFonts w:ascii="Arial" w:hAnsi="Arial" w:cs="Arial"/>
          <w:sz w:val="20"/>
          <w:szCs w:val="20"/>
        </w:rPr>
        <w:t xml:space="preserve"> BMI=body mass index; CNY=Chinese Yuan; GDM=gestational diabetes mellitus; </w:t>
      </w:r>
      <w:r>
        <w:rPr>
          <w:rFonts w:ascii="Arial" w:hAnsi="Arial" w:eastAsia="宋体" w:cs="Arial"/>
          <w:bCs/>
          <w:color w:val="000000"/>
          <w:kern w:val="0"/>
          <w:sz w:val="20"/>
          <w:szCs w:val="20"/>
        </w:rPr>
        <w:t>VIF=Variance inflation factors</w:t>
      </w:r>
    </w:p>
    <w:p>
      <w:pPr>
        <w:spacing w:line="360" w:lineRule="auto"/>
        <w:rPr>
          <w:rFonts w:ascii="Arial" w:hAnsi="Arial" w:eastAsia="宋体" w:cs="Arial"/>
          <w:bCs/>
          <w:color w:val="000000"/>
          <w:kern w:val="0"/>
          <w:sz w:val="20"/>
          <w:szCs w:val="20"/>
        </w:rPr>
      </w:pPr>
    </w:p>
    <w:p>
      <w:pPr>
        <w:pStyle w:val="9"/>
        <w:tabs>
          <w:tab w:val="left" w:pos="365"/>
        </w:tabs>
        <w:spacing w:after="100" w:line="360" w:lineRule="auto"/>
        <w:jc w:val="left"/>
        <w:rPr>
          <w:rFonts w:ascii="Arial" w:hAnsi="Arial" w:eastAsia="宋体" w:cs="Arial"/>
          <w:b/>
          <w:color w:val="000000"/>
          <w:kern w:val="0"/>
        </w:rPr>
      </w:pPr>
      <w:r>
        <w:rPr>
          <w:rFonts w:ascii="Arial" w:hAnsi="Arial" w:eastAsia="宋体" w:cs="Arial"/>
          <w:b/>
          <w:color w:val="000000"/>
          <w:kern w:val="0"/>
        </w:rPr>
        <w:t>Table B.</w:t>
      </w:r>
      <w:r>
        <w:rPr>
          <w:rFonts w:hint="eastAsia" w:ascii="Arial" w:hAnsi="Arial" w:eastAsia="宋体" w:cs="Arial"/>
          <w:b/>
          <w:color w:val="000000"/>
          <w:kern w:val="0"/>
        </w:rPr>
        <w:t xml:space="preserve">4: </w:t>
      </w:r>
      <w:r>
        <w:rPr>
          <w:rFonts w:ascii="Arial" w:hAnsi="Arial" w:eastAsia="宋体" w:cs="Arial"/>
          <w:bCs/>
          <w:color w:val="000000"/>
          <w:kern w:val="0"/>
        </w:rPr>
        <w:t>The interaction between age, BMI, sleep duration, sleep quality respectively, and BQ results by the logistic regression analysis</w:t>
      </w:r>
    </w:p>
    <w:tbl>
      <w:tblPr>
        <w:tblStyle w:val="6"/>
        <w:tblpPr w:leftFromText="180" w:rightFromText="180" w:vertAnchor="text" w:horzAnchor="margin" w:tblpX="-82" w:tblpY="274"/>
        <w:tblOverlap w:val="never"/>
        <w:tblW w:w="508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75"/>
        <w:gridCol w:w="2553"/>
        <w:gridCol w:w="19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2406" w:type="pct"/>
            <w:tcBorders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Clinical characteristics</w:t>
            </w:r>
          </w:p>
        </w:tc>
        <w:tc>
          <w:tcPr>
            <w:tcW w:w="1471" w:type="pct"/>
            <w:tcBorders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Adjusted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OR</w:t>
            </w: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122" w:type="pct"/>
            <w:tcBorders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95%</w:t>
            </w:r>
            <w:r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CI</w:t>
            </w: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406" w:type="pct"/>
            <w:tcBorders>
              <w:top w:val="single" w:color="auto" w:sz="8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Age by BQ outcome</w:t>
            </w:r>
          </w:p>
        </w:tc>
        <w:tc>
          <w:tcPr>
            <w:tcW w:w="1471" w:type="pct"/>
            <w:tcBorders>
              <w:top w:val="single" w:color="auto" w:sz="8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1122" w:type="pct"/>
            <w:tcBorders>
              <w:top w:val="single" w:color="auto" w:sz="8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(0.61, 2.10)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40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BMI by BQ outcome</w:t>
            </w:r>
          </w:p>
        </w:tc>
        <w:tc>
          <w:tcPr>
            <w:tcW w:w="147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0.99</w:t>
            </w:r>
          </w:p>
        </w:tc>
        <w:tc>
          <w:tcPr>
            <w:tcW w:w="11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(0.74, 1.33)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240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Nighttime Sleep duration by BQ outcome</w:t>
            </w:r>
          </w:p>
        </w:tc>
        <w:tc>
          <w:tcPr>
            <w:tcW w:w="147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4.37</w:t>
            </w:r>
          </w:p>
        </w:tc>
        <w:tc>
          <w:tcPr>
            <w:tcW w:w="11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(0.58, 33.16)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40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PSQI score and by BQ outcome</w:t>
            </w:r>
          </w:p>
        </w:tc>
        <w:tc>
          <w:tcPr>
            <w:tcW w:w="147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0.88 </w:t>
            </w:r>
          </w:p>
        </w:tc>
        <w:tc>
          <w:tcPr>
            <w:tcW w:w="11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(0.56, 1.38)</w:t>
            </w:r>
          </w:p>
        </w:tc>
      </w:tr>
    </w:tbl>
    <w:p>
      <w:pPr>
        <w:spacing w:line="360" w:lineRule="auto"/>
        <w:rPr>
          <w:rFonts w:ascii="Arial" w:hAnsi="Arial" w:eastAsia="宋体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Notes: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vertAlign w:val="superscript"/>
        </w:rPr>
        <w:t>a</w:t>
      </w:r>
      <w:r>
        <w:rPr>
          <w:rFonts w:hint="eastAsia" w:ascii="Arial" w:hAnsi="Arial" w:cs="Arial"/>
          <w:sz w:val="20"/>
          <w:szCs w:val="20"/>
          <w:vertAlign w:val="superscript"/>
          <w:lang w:val="en-US" w:eastAsia="zh-CN"/>
        </w:rPr>
        <w:t xml:space="preserve"> </w:t>
      </w:r>
      <w:r>
        <w:rPr>
          <w:rFonts w:hint="default" w:ascii="Arial" w:hAnsi="Arial" w:eastAsia="宋体" w:cs="Arial"/>
          <w:bCs/>
          <w:color w:val="000000"/>
          <w:szCs w:val="21"/>
          <w:vertAlign w:val="baseline"/>
          <w:lang w:val="en-US" w:eastAsia="zh-CN"/>
        </w:rPr>
        <w:t xml:space="preserve">OR and 95% </w:t>
      </w:r>
      <w:r>
        <w:rPr>
          <w:rFonts w:hint="default" w:ascii="Arial" w:hAnsi="Arial" w:eastAsia="宋体" w:cs="Arial"/>
          <w:bCs/>
          <w:i/>
          <w:iCs/>
          <w:color w:val="000000"/>
          <w:szCs w:val="21"/>
          <w:vertAlign w:val="baseline"/>
          <w:lang w:val="en-US" w:eastAsia="zh-CN"/>
        </w:rPr>
        <w:t>CI</w:t>
      </w:r>
      <w:r>
        <w:rPr>
          <w:rFonts w:hint="default" w:ascii="Arial" w:hAnsi="Arial" w:eastAsia="宋体" w:cs="Arial"/>
          <w:bCs/>
          <w:color w:val="000000"/>
          <w:szCs w:val="21"/>
          <w:vertAlign w:val="baseline"/>
          <w:lang w:val="en-US" w:eastAsia="zh-CN"/>
        </w:rPr>
        <w:t xml:space="preserve"> estimated with multivariable logistic regression a</w:t>
      </w:r>
      <w:r>
        <w:rPr>
          <w:rFonts w:ascii="Arial" w:hAnsi="Arial" w:eastAsia="宋体" w:cs="Arial"/>
          <w:bCs/>
          <w:color w:val="000000"/>
          <w:kern w:val="0"/>
          <w:sz w:val="20"/>
          <w:szCs w:val="20"/>
        </w:rPr>
        <w:t>djusted for maternal age, BMI, family history of diabetes.</w:t>
      </w:r>
    </w:p>
    <w:p>
      <w:pPr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Abbreviations:</w:t>
      </w:r>
      <w:r>
        <w:rPr>
          <w:rFonts w:ascii="Arial" w:hAnsi="Arial" w:eastAsia="宋体" w:cs="Arial"/>
          <w:bCs/>
          <w:color w:val="000000"/>
          <w:kern w:val="0"/>
          <w:sz w:val="20"/>
          <w:szCs w:val="20"/>
        </w:rPr>
        <w:t xml:space="preserve"> BMI=body mass index; BQ=Berlin Questionnaire; CI=confidence interval; OR=odds ratio; PSQI=Pittsburgh Sleep Quality Index.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2CC1616"/>
    <w:rsid w:val="000154B5"/>
    <w:rsid w:val="0003562E"/>
    <w:rsid w:val="001D368E"/>
    <w:rsid w:val="001E3C93"/>
    <w:rsid w:val="00735867"/>
    <w:rsid w:val="009A0231"/>
    <w:rsid w:val="00A1668D"/>
    <w:rsid w:val="00D20B5F"/>
    <w:rsid w:val="00D44DE3"/>
    <w:rsid w:val="00DB211C"/>
    <w:rsid w:val="00EB1BDF"/>
    <w:rsid w:val="00F07DAF"/>
    <w:rsid w:val="00F41964"/>
    <w:rsid w:val="00FE6104"/>
    <w:rsid w:val="0A0C4C76"/>
    <w:rsid w:val="0A2C28F8"/>
    <w:rsid w:val="18F107DE"/>
    <w:rsid w:val="1D8E249F"/>
    <w:rsid w:val="22CC1616"/>
    <w:rsid w:val="2A5D243A"/>
    <w:rsid w:val="33CB7A83"/>
    <w:rsid w:val="373573B1"/>
    <w:rsid w:val="374A3995"/>
    <w:rsid w:val="39E7174C"/>
    <w:rsid w:val="3B3230A5"/>
    <w:rsid w:val="3BD77946"/>
    <w:rsid w:val="42CF27ED"/>
    <w:rsid w:val="45282642"/>
    <w:rsid w:val="478B7C55"/>
    <w:rsid w:val="4D7A2013"/>
    <w:rsid w:val="54556997"/>
    <w:rsid w:val="54B8169C"/>
    <w:rsid w:val="592E1A62"/>
    <w:rsid w:val="5D0B07E3"/>
    <w:rsid w:val="62C4636F"/>
    <w:rsid w:val="680D0B7B"/>
    <w:rsid w:val="688F1572"/>
    <w:rsid w:val="69DC0B67"/>
    <w:rsid w:val="6DFF0D45"/>
    <w:rsid w:val="75196345"/>
    <w:rsid w:val="75516290"/>
    <w:rsid w:val="78CA5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qFormat/>
    <w:uiPriority w:val="0"/>
    <w:rPr>
      <w:sz w:val="20"/>
      <w:szCs w:val="20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annotation subject"/>
    <w:basedOn w:val="2"/>
    <w:next w:val="2"/>
    <w:link w:val="15"/>
    <w:qFormat/>
    <w:uiPriority w:val="0"/>
    <w:rPr>
      <w:b/>
      <w:bCs/>
    </w:rPr>
  </w:style>
  <w:style w:type="character" w:styleId="8">
    <w:name w:val="annotation reference"/>
    <w:basedOn w:val="7"/>
    <w:qFormat/>
    <w:uiPriority w:val="0"/>
    <w:rPr>
      <w:sz w:val="16"/>
      <w:szCs w:val="16"/>
    </w:rPr>
  </w:style>
  <w:style w:type="paragraph" w:customStyle="1" w:styleId="9">
    <w:name w:val="Body text|1"/>
    <w:basedOn w:val="1"/>
    <w:qFormat/>
    <w:uiPriority w:val="0"/>
    <w:rPr>
      <w:sz w:val="20"/>
      <w:szCs w:val="20"/>
    </w:rPr>
  </w:style>
  <w:style w:type="character" w:customStyle="1" w:styleId="10">
    <w:name w:val="Header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1">
    <w:name w:val="Footer Char"/>
    <w:basedOn w:val="7"/>
    <w:link w:val="3"/>
    <w:qFormat/>
    <w:uiPriority w:val="0"/>
    <w:rPr>
      <w:kern w:val="2"/>
      <w:sz w:val="18"/>
      <w:szCs w:val="18"/>
    </w:rPr>
  </w:style>
  <w:style w:type="paragraph" w:customStyle="1" w:styleId="12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3">
    <w:name w:val="Revision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4">
    <w:name w:val="Comment Text Char"/>
    <w:basedOn w:val="7"/>
    <w:link w:val="2"/>
    <w:qFormat/>
    <w:uiPriority w:val="0"/>
    <w:rPr>
      <w:kern w:val="2"/>
      <w:lang w:val="en-US" w:eastAsia="zh-CN"/>
    </w:rPr>
  </w:style>
  <w:style w:type="character" w:customStyle="1" w:styleId="15">
    <w:name w:val="Comment Subject Char"/>
    <w:basedOn w:val="14"/>
    <w:link w:val="5"/>
    <w:qFormat/>
    <w:uiPriority w:val="0"/>
    <w:rPr>
      <w:b/>
      <w:bCs/>
      <w:kern w:val="2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401</Words>
  <Characters>2286</Characters>
  <Lines>19</Lines>
  <Paragraphs>5</Paragraphs>
  <TotalTime>4</TotalTime>
  <ScaleCrop>false</ScaleCrop>
  <LinksUpToDate>false</LinksUpToDate>
  <CharactersWithSpaces>2682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2022-05-15T23:31:00Z</dcterms:created>
  <dc:creator>SYF</dc:creator>
  <cp:lastModifiedBy>SYF</cp:lastModifiedBy>
  <dcterms:modified xsi:type="dcterms:W3CDTF">2022-05-16T14:49:00Z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051EAC63BAC247328C791BF8C4CED836</vt:lpwstr>
  </property>
</Properties>
</file>